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4D7C0F"/>
          <w:sz w:val="20"/>
          <w:szCs w:val="20"/>
        </w:rPr>
        <w:t xml:space="preserve">GRIFFIN AMBITIONS LTD</w:t>
      </w:r>
    </w:p>
    <w:p>
      <w:pPr>
        <w:spacing w:after="160"/>
      </w:pPr>
      <w:r>
        <w:rPr>
          <w:color w:val="555555"/>
          <w:sz w:val="18"/>
          <w:szCs w:val="18"/>
        </w:rPr>
        <w:t xml:space="preserve">Student Mental Health Policy Alliance™</w:t>
      </w:r>
    </w:p>
    <w:p>
      <w:r>
        <w:rPr>
          <w:b/>
          <w:bCs/>
          <w:color w:val="1E3A8A"/>
          <w:sz w:val="40"/>
          <w:szCs w:val="40"/>
        </w:rPr>
        <w:t xml:space="preserve">Campus Mental-Health Data Request</w:t>
      </w:r>
    </w:p>
    <w:p>
      <w:pPr>
        <w:spacing w:after="160"/>
      </w:pPr>
      <w:r>
        <w:rPr>
          <w:color w:val="1D4ED8"/>
          <w:sz w:val="24"/>
          <w:szCs w:val="24"/>
        </w:rPr>
        <w:t xml:space="preserve">A white-label public-records (FOIA) toolkit for student advocates</w:t>
      </w:r>
    </w:p>
    <w:p>
      <w:pPr>
        <w:pBdr>
          <w:bottom w:val="single" w:color="1D4ED8" w:sz="6" w:space="1"/>
        </w:pBdr>
        <w:spacing w:after="160"/>
      </w:pPr>
    </w:p>
    <w:p>
      <w:pPr>
        <w:spacing w:after="120"/>
      </w:pPr>
      <w:r>
        <w:t xml:space="preserve">This editable template helps you request the access and staffing data your public university already keeps — the numbers behind whether a struggling student can actually be seen. Public colleges and universities are subject to their state’s open-records law; this kit gives you the letter, the exact data to ask for, the national benchmarks to compare against, and a student survey to capture lived experience.</w:t>
      </w:r>
    </w:p>
    <w:p>
      <w:pPr>
        <w:spacing w:after="80"/>
      </w:pPr>
      <w:r>
        <w:rPr>
          <w:b/>
          <w:bCs/>
        </w:rPr>
        <w:t xml:space="preserve">How to use this kit</w:t>
      </w:r>
    </w:p>
    <w:p>
      <w:pPr>
        <w:pStyle w:val="ListParagraph"/>
        <w:numPr>
          <w:ilvl w:val="0"/>
          <w:numId w:val="2"/>
        </w:numPr>
        <w:spacing w:after="60"/>
      </w:pPr>
      <w:r>
        <w:t xml:space="preserve">Find your state in the table on the last pages and note your records law and response window.</w:t>
      </w:r>
    </w:p>
    <w:p>
      <w:pPr>
        <w:pStyle w:val="ListParagraph"/>
        <w:numPr>
          <w:ilvl w:val="0"/>
          <w:numId w:val="2"/>
        </w:numPr>
        <w:spacing w:after="60"/>
      </w:pPr>
      <w:r>
        <w:t xml:space="preserve">Fill in every [BRACKETED] field in the letter below.</w:t>
      </w:r>
    </w:p>
    <w:p>
      <w:pPr>
        <w:pStyle w:val="ListParagraph"/>
        <w:numPr>
          <w:ilvl w:val="0"/>
          <w:numId w:val="2"/>
        </w:numPr>
        <w:spacing w:after="60"/>
      </w:pPr>
      <w:r>
        <w:t xml:space="preserve">Send to the university’s public-records officer (search “[university] public records request”).</w:t>
      </w:r>
    </w:p>
    <w:p>
      <w:pPr>
        <w:pStyle w:val="ListParagraph"/>
        <w:numPr>
          <w:ilvl w:val="0"/>
          <w:numId w:val="2"/>
        </w:numPr>
        <w:spacing w:after="60"/>
      </w:pPr>
      <w:r>
        <w:t xml:space="preserve">Compare what you receive to the National Benchmarks section — that’s where the story is.</w:t>
      </w:r>
    </w:p>
    <w:p>
      <w:pPr>
        <w:pStyle w:val="ListParagraph"/>
        <w:numPr>
          <w:ilvl w:val="0"/>
          <w:numId w:val="2"/>
        </w:numPr>
        <w:spacing w:after="60"/>
      </w:pPr>
      <w:r>
        <w:t xml:space="preserve">Pair the official data with a student survey (template included). We can run it for you.</w:t>
      </w:r>
    </w:p>
    <w:p>
      <w:pPr>
        <w:spacing w:after="120"/>
      </w:pPr>
      <w:r>
        <w:rPr>
          <w:i/>
          <w:iCs/>
          <w:color w:val="555555"/>
          <w:sz w:val="20"/>
          <w:szCs w:val="20"/>
        </w:rPr>
        <w:t xml:space="preserve">This template is provided for advocacy and educational purposes and is not legal advice. Open-records laws, deadlines, and fee rules vary by state and change over time — verify your state’s current statute before filing.</w:t>
      </w:r>
    </w:p>
    <w:p>
      <w:r>
        <w:br w:type="page"/>
      </w:r>
    </w:p>
    <w:p>
      <w:pPr>
        <w:pStyle w:val="Heading1"/>
      </w:pPr>
      <w:r>
        <w:t xml:space="preserve">Section 1 — The Request Letter (copy, fill in, send)</w:t>
      </w:r>
    </w:p>
    <w:p>
      <w:pPr>
        <w:spacing w:after="120"/>
      </w:pPr>
      <w:r>
        <w:t xml:space="preserve">[DATE]</w:t>
      </w:r>
    </w:p>
    <w:p>
      <w:pPr>
        <w:spacing w:after="120"/>
      </w:pPr>
      <w:r>
        <w:t xml:space="preserve">[Name of Public Records / FOIA Officer]</w:t>
      </w:r>
    </w:p>
    <w:p>
      <w:pPr>
        <w:spacing w:after="120"/>
      </w:pPr>
      <w:r>
        <w:t xml:space="preserve">[University Name] — Office of Public Records / Legal Affairs</w:t>
      </w:r>
    </w:p>
    <w:p>
      <w:pPr>
        <w:spacing w:after="120"/>
      </w:pPr>
      <w:r>
        <w:t xml:space="preserve">[Address / Email]</w:t>
      </w:r>
    </w:p>
    <w:p>
      <w:r>
        <w:t xml:space="preserve"/>
      </w:r>
    </w:p>
    <w:p>
      <w:pPr>
        <w:spacing w:after="120"/>
      </w:pPr>
      <w:r>
        <w:rPr>
          <w:b/>
          <w:bCs/>
        </w:rPr>
        <w:t xml:space="preserve">Re: Public Records Request — Counseling &amp; Mental-Health Services Data</w:t>
      </w:r>
    </w:p>
    <w:p>
      <w:r>
        <w:t xml:space="preserve"/>
      </w:r>
    </w:p>
    <w:p>
      <w:pPr>
        <w:spacing w:after="120"/>
      </w:pPr>
      <w:r>
        <w:t xml:space="preserve">Dear Records Officer,</w:t>
      </w:r>
    </w:p>
    <w:p>
      <w:pPr>
        <w:spacing w:after="120"/>
      </w:pPr>
      <w:r>
        <w:t xml:space="preserve">Pursuant to [STATE]’s public records law, [STATE PUBLIC RECORDS LAW / STATUTE — see table], I request copies of the following records held by [University Name], including its Counseling Center / Counseling &amp; Psychological Services (CAPS) and related offices. Where exact records do not exist, I request the closest existing records and any documents from which the information can be derived. I request the most recent three academic years unless otherwise noted.</w:t>
      </w:r>
    </w:p>
    <w:p>
      <w:pPr>
        <w:pStyle w:val="Heading2"/>
      </w:pPr>
      <w:r>
        <w:t xml:space="preserve">A. Staffing &amp; capacity</w:t>
      </w:r>
    </w:p>
    <w:p>
      <w:pPr>
        <w:pStyle w:val="ListParagraph"/>
        <w:numPr>
          <w:ilvl w:val="0"/>
          <w:numId w:val="2"/>
        </w:numPr>
        <w:spacing w:after="60"/>
      </w:pPr>
      <w:r>
        <w:t xml:space="preserve">Number of full-time-equivalent (FTE) licensed clinical mental-health staff (psychologists, counselors/LPCs, clinical social workers, psychiatrists/APRNs), by year, with total enrolled student headcount for each year.</w:t>
      </w:r>
    </w:p>
    <w:p>
      <w:pPr>
        <w:pStyle w:val="ListParagraph"/>
        <w:numPr>
          <w:ilvl w:val="0"/>
          <w:numId w:val="2"/>
        </w:numPr>
        <w:spacing w:after="60"/>
      </w:pPr>
      <w:r>
        <w:t xml:space="preserve">Any internally calculated student-to-counselor ratio and/or Clinical Load Index, by year.</w:t>
      </w:r>
    </w:p>
    <w:p>
      <w:pPr>
        <w:pStyle w:val="ListParagraph"/>
        <w:numPr>
          <w:ilvl w:val="0"/>
          <w:numId w:val="2"/>
        </w:numPr>
        <w:spacing w:after="60"/>
      </w:pPr>
      <w:r>
        <w:t xml:space="preserve">Number of unique students served by the counseling center per year (annual caseload).</w:t>
      </w:r>
    </w:p>
    <w:p>
      <w:pPr>
        <w:pStyle w:val="ListParagraph"/>
        <w:numPr>
          <w:ilvl w:val="0"/>
          <w:numId w:val="2"/>
        </w:numPr>
        <w:spacing w:after="60"/>
      </w:pPr>
      <w:r>
        <w:t xml:space="preserve">Number of budgeted clinical positions, number currently vacant, and average time-to-fill for vacancies.</w:t>
      </w:r>
    </w:p>
    <w:p>
      <w:pPr>
        <w:pStyle w:val="ListParagraph"/>
        <w:numPr>
          <w:ilvl w:val="0"/>
          <w:numId w:val="2"/>
        </w:numPr>
        <w:spacing w:after="60"/>
      </w:pPr>
      <w:r>
        <w:t xml:space="preserve">Current accreditation status (e.g., IACS) and most recent accreditation/review date.</w:t>
      </w:r>
    </w:p>
    <w:p>
      <w:pPr>
        <w:pStyle w:val="Heading2"/>
      </w:pPr>
      <w:r>
        <w:t xml:space="preserve">B. Access &amp; outcomes</w:t>
      </w:r>
    </w:p>
    <w:p>
      <w:pPr>
        <w:pStyle w:val="ListParagraph"/>
        <w:numPr>
          <w:ilvl w:val="0"/>
          <w:numId w:val="2"/>
        </w:numPr>
        <w:spacing w:after="60"/>
      </w:pPr>
      <w:r>
        <w:t xml:space="preserve">Average and median wait time from a student’s initial request to (a) first contact/triage and (b) first scheduled individual therapy appointment, by year.</w:t>
      </w:r>
    </w:p>
    <w:p>
      <w:pPr>
        <w:pStyle w:val="ListParagraph"/>
        <w:numPr>
          <w:ilvl w:val="0"/>
          <w:numId w:val="2"/>
        </w:numPr>
        <w:spacing w:after="60"/>
      </w:pPr>
      <w:r>
        <w:t xml:space="preserve">Session policy: any per-student session limits and the average number of sessions provided per student.</w:t>
      </w:r>
    </w:p>
    <w:p>
      <w:pPr>
        <w:pStyle w:val="ListParagraph"/>
        <w:numPr>
          <w:ilvl w:val="0"/>
          <w:numId w:val="2"/>
        </w:numPr>
        <w:spacing w:after="60"/>
      </w:pPr>
      <w:r>
        <w:t xml:space="preserve">Number and percentage of students referred off-campus, waitlisted, or unable to be scheduled, by year.</w:t>
      </w:r>
    </w:p>
    <w:p>
      <w:pPr>
        <w:pStyle w:val="ListParagraph"/>
        <w:numPr>
          <w:ilvl w:val="0"/>
          <w:numId w:val="2"/>
        </w:numPr>
        <w:spacing w:after="60"/>
      </w:pPr>
      <w:r>
        <w:t xml:space="preserve">After-hours/crisis contact volume and whether a 24/7 crisis line is provided (in-house or vendor).</w:t>
      </w:r>
    </w:p>
    <w:p>
      <w:pPr>
        <w:pStyle w:val="ListParagraph"/>
        <w:numPr>
          <w:ilvl w:val="0"/>
          <w:numId w:val="2"/>
        </w:numPr>
        <w:spacing w:after="60"/>
      </w:pPr>
      <w:r>
        <w:t xml:space="preserve">Any contract with a virtual/telehealth mental-health vendor (vendor name, contract value, and utilization).</w:t>
      </w:r>
    </w:p>
    <w:p>
      <w:pPr>
        <w:pStyle w:val="Heading2"/>
      </w:pPr>
      <w:r>
        <w:t xml:space="preserve">C. Budget &amp; demand</w:t>
      </w:r>
    </w:p>
    <w:p>
      <w:pPr>
        <w:pStyle w:val="ListParagraph"/>
        <w:numPr>
          <w:ilvl w:val="0"/>
          <w:numId w:val="2"/>
        </w:numPr>
        <w:spacing w:after="60"/>
      </w:pPr>
      <w:r>
        <w:t xml:space="preserve">Annual counseling-center operating budget and per-student mental-health expenditure, by year.</w:t>
      </w:r>
    </w:p>
    <w:p>
      <w:pPr>
        <w:pStyle w:val="ListParagraph"/>
        <w:numPr>
          <w:ilvl w:val="0"/>
          <w:numId w:val="2"/>
        </w:numPr>
        <w:spacing w:after="60"/>
      </w:pPr>
      <w:r>
        <w:t xml:space="preserve">Total volume of appointment requests/demand and appointment no-show rate, by year.</w:t>
      </w:r>
    </w:p>
    <w:p>
      <w:pPr>
        <w:pStyle w:val="ListParagraph"/>
        <w:numPr>
          <w:ilvl w:val="0"/>
          <w:numId w:val="2"/>
        </w:numPr>
        <w:spacing w:after="60"/>
      </w:pPr>
      <w:r>
        <w:t xml:space="preserve">Any internal or consultant reports, strategic plans, needs assessments, or audits addressing counseling-center capacity, staffing, or wait times in the last three years.</w:t>
      </w:r>
    </w:p>
    <w:p>
      <w:pPr>
        <w:pStyle w:val="Heading2"/>
      </w:pPr>
      <w:r>
        <w:t xml:space="preserve">D. Format, fees, and timing</w:t>
      </w:r>
    </w:p>
    <w:p>
      <w:pPr>
        <w:spacing w:after="120"/>
      </w:pPr>
      <w:r>
        <w:t xml:space="preserve">Please provide records electronically (searchable PDF, Excel/CSV) where possible. I request a waiver or reduction of fees because disclosure serves the public interest in understanding the availability of student mental-health services and is not for commercial use; if fees will exceed $[AMOUNT], please contact me first. If any portion is withheld, please release all reasonably segregable portions and cite the specific exemption. Please respond within the time required by [STATE]’s public records law.</w:t>
      </w:r>
    </w:p>
    <w:p>
      <w:r>
        <w:t xml:space="preserve"/>
      </w:r>
    </w:p>
    <w:p>
      <w:pPr>
        <w:spacing w:after="120"/>
      </w:pPr>
      <w:r>
        <w:t xml:space="preserve">Thank you for your assistance.</w:t>
      </w:r>
    </w:p>
    <w:p>
      <w:r>
        <w:t xml:space="preserve"/>
      </w:r>
    </w:p>
    <w:p>
      <w:pPr>
        <w:spacing w:after="120"/>
      </w:pPr>
      <w:r>
        <w:t xml:space="preserve">[Your Name]</w:t>
      </w:r>
    </w:p>
    <w:p>
      <w:pPr>
        <w:spacing w:after="120"/>
      </w:pPr>
      <w:r>
        <w:t xml:space="preserve">[Your Title / Student Organization or Chapter]</w:t>
      </w:r>
    </w:p>
    <w:p>
      <w:pPr>
        <w:spacing w:after="120"/>
      </w:pPr>
      <w:r>
        <w:t xml:space="preserve">[Email] — [Phone]</w:t>
      </w:r>
    </w:p>
    <w:p>
      <w:r>
        <w:br w:type="page"/>
      </w:r>
    </w:p>
    <w:p>
      <w:pPr>
        <w:pStyle w:val="Heading1"/>
      </w:pPr>
      <w:r>
        <w:t xml:space="preserve">Section 2 — National Benchmarks (use these to interpret what you get back)</w:t>
      </w:r>
    </w:p>
    <w:p>
      <w:pPr>
        <w:spacing w:after="120"/>
      </w:pPr>
      <w:r>
        <w:t xml:space="preserve">Most schools will not hand you a tidy “ratio.” Use these national reference points to turn raw records into an argument. Sources noted; figures are widely reported national averages, not audited per-campus values.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760"/>
        <w:gridCol w:w="2000"/>
      </w:tblGrid>
      <w:tr>
        <w:trPr>
          <w:tblHeader/>
        </w:trPr>
        <w:tc>
          <w:tcPr>
            <w:tcW w:type="dxa" w:w="2600"/>
            <w:tcBorders>
              <w:top w:val="single" w:color="CCCCCC" w:sz="1"/>
              <w:left w:val="single" w:color="CCCCCC" w:sz="1"/>
              <w:bottom w:val="single" w:color="CCCCCC" w:sz="1"/>
              <w:right w:val="single" w:color="CCCCCC" w:sz="1"/>
            </w:tcBorders>
            <w:shd w:fill="1E3A8A" w:val="clear"/>
            <w:tcMar>
              <w:top w:type="dxa" w:w="60"/>
              <w:left w:type="dxa" w:w="110"/>
              <w:bottom w:type="dxa" w:w="60"/>
              <w:right w:type="dxa" w:w="110"/>
            </w:tcMar>
          </w:tcPr>
          <w:p>
            <w:r>
              <w:rPr>
                <w:b/>
                <w:bCs/>
                <w:color w:val="FFFFFF"/>
                <w:sz w:val="19"/>
                <w:szCs w:val="19"/>
              </w:rPr>
              <w:t xml:space="preserve">Metric</w:t>
            </w:r>
          </w:p>
        </w:tc>
        <w:tc>
          <w:tcPr>
            <w:tcW w:type="dxa" w:w="4760"/>
            <w:tcBorders>
              <w:top w:val="single" w:color="CCCCCC" w:sz="1"/>
              <w:left w:val="single" w:color="CCCCCC" w:sz="1"/>
              <w:bottom w:val="single" w:color="CCCCCC" w:sz="1"/>
              <w:right w:val="single" w:color="CCCCCC" w:sz="1"/>
            </w:tcBorders>
            <w:shd w:fill="1E3A8A" w:val="clear"/>
            <w:tcMar>
              <w:top w:type="dxa" w:w="60"/>
              <w:left w:type="dxa" w:w="110"/>
              <w:bottom w:type="dxa" w:w="60"/>
              <w:right w:type="dxa" w:w="110"/>
            </w:tcMar>
          </w:tcPr>
          <w:p>
            <w:r>
              <w:rPr>
                <w:b/>
                <w:bCs/>
                <w:color w:val="FFFFFF"/>
                <w:sz w:val="19"/>
                <w:szCs w:val="19"/>
              </w:rPr>
              <w:t xml:space="preserve">National reference point</w:t>
            </w:r>
          </w:p>
        </w:tc>
        <w:tc>
          <w:tcPr>
            <w:tcW w:type="dxa" w:w="2000"/>
            <w:tcBorders>
              <w:top w:val="single" w:color="CCCCCC" w:sz="1"/>
              <w:left w:val="single" w:color="CCCCCC" w:sz="1"/>
              <w:bottom w:val="single" w:color="CCCCCC" w:sz="1"/>
              <w:right w:val="single" w:color="CCCCCC" w:sz="1"/>
            </w:tcBorders>
            <w:shd w:fill="1E3A8A" w:val="clear"/>
            <w:tcMar>
              <w:top w:type="dxa" w:w="60"/>
              <w:left w:type="dxa" w:w="110"/>
              <w:bottom w:type="dxa" w:w="60"/>
              <w:right w:type="dxa" w:w="110"/>
            </w:tcMar>
          </w:tcPr>
          <w:p>
            <w:r>
              <w:rPr>
                <w:b/>
                <w:bCs/>
                <w:color w:val="FFFFFF"/>
                <w:sz w:val="19"/>
                <w:szCs w:val="19"/>
              </w:rPr>
              <w:t xml:space="preserve">Source</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Students per FTE counselor</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Recommended 1,000–1,500 : 1</w:t>
            </w:r>
          </w:p>
        </w:tc>
        <w:tc>
          <w:tcPr>
            <w:tcW w:type="dxa" w:w="20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IACS standard</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Standardized caseload</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Clinical Load Index — “clients per standardized counselor”; better than raw ratio because utilization ranges &lt;1% to &gt;50%</w:t>
            </w:r>
          </w:p>
        </w:tc>
        <w:tc>
          <w:tcPr>
            <w:tcW w:type="dxa" w:w="20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CCMH (Penn State), endorsed by IACS &amp; AUCCCD</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Annual caseload</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~120 students per counselor on average; some centers exceed 300</w:t>
            </w:r>
          </w:p>
        </w:tc>
        <w:tc>
          <w:tcPr>
            <w:tcW w:type="dxa" w:w="20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APA / TimelyCare, 2025</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Wait time</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~1–2 weeks for a first therapy appointment at most centers; multi-week waits common and reportedly rising</w:t>
            </w:r>
          </w:p>
        </w:tc>
        <w:tc>
          <w:tcPr>
            <w:tcW w:type="dxa" w:w="20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AUCCCD; Inside Higher Ed, 2026</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Student need</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 in 3 students report moderate-to-severe anxiety; nearly 1 in 4, severe depression</w:t>
            </w:r>
          </w:p>
        </w:tc>
        <w:tc>
          <w:tcPr>
            <w:tcW w:type="dxa" w:w="20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Healthy Minds Study, 2024–25 (96,000+ students)</w:t>
            </w:r>
          </w:p>
        </w:tc>
      </w:tr>
      <w:tr>
        <w:tc>
          <w:tcPr>
            <w:tcW w:type="dxa" w:w="26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Virtual care</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~59% of institutions partner with a virtual mental-health vendor</w:t>
            </w:r>
          </w:p>
        </w:tc>
        <w:tc>
          <w:tcPr>
            <w:tcW w:type="dxa" w:w="20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TimelyCare, 2026</w:t>
            </w:r>
          </w:p>
        </w:tc>
      </w:tr>
    </w:tbl>
    <w:p>
      <w:r>
        <w:t xml:space="preserve"/>
      </w:r>
    </w:p>
    <w:p>
      <w:pPr>
        <w:pStyle w:val="Heading2"/>
      </w:pPr>
      <w:r>
        <w:t xml:space="preserve">How to leverage the data (and make defensible assumptions)</w:t>
      </w:r>
    </w:p>
    <w:p>
      <w:pPr>
        <w:pStyle w:val="ListParagraph"/>
        <w:numPr>
          <w:ilvl w:val="0"/>
          <w:numId w:val="3"/>
        </w:numPr>
        <w:spacing w:after="60"/>
      </w:pPr>
      <w:r>
        <w:t xml:space="preserve">Compute the ratio: FTE clinical staff ÷ enrolled students. Compare to the IACS 1,000–1,500 : 1 band. A 28,000-student campus needs roughly 19–28 FTE counselors to meet it.</w:t>
      </w:r>
    </w:p>
    <w:p>
      <w:pPr>
        <w:pStyle w:val="ListParagraph"/>
        <w:numPr>
          <w:ilvl w:val="0"/>
          <w:numId w:val="3"/>
        </w:numPr>
        <w:spacing w:after="60"/>
      </w:pPr>
      <w:r>
        <w:t xml:space="preserve">If they give caseload, not ratio: divide unique students served by FTE counselors to approximate the Clinical Load Index, then compare to the ~120 national average.</w:t>
      </w:r>
    </w:p>
    <w:p>
      <w:pPr>
        <w:pStyle w:val="ListParagraph"/>
        <w:numPr>
          <w:ilvl w:val="0"/>
          <w:numId w:val="3"/>
        </w:numPr>
        <w:spacing w:after="60"/>
      </w:pPr>
      <w:r>
        <w:t xml:space="preserve">If a number is missing: estimate it. Apply the national ~10–12% utilization rate to enrollment to project likely demand, state the assumption plainly, and note that the school’s failure to track it is itself a finding.</w:t>
      </w:r>
    </w:p>
    <w:p>
      <w:pPr>
        <w:pStyle w:val="ListParagraph"/>
        <w:numPr>
          <w:ilvl w:val="0"/>
          <w:numId w:val="3"/>
        </w:numPr>
        <w:spacing w:after="60"/>
      </w:pPr>
      <w:r>
        <w:t xml:space="preserve">Translate gaps into an ask: “At [ratio], our campus is [N] counselors short of the IACS standard” is a budget request, not a complaint.</w:t>
      </w:r>
    </w:p>
    <w:p>
      <w:pPr>
        <w:pStyle w:val="ListParagraph"/>
        <w:numPr>
          <w:ilvl w:val="0"/>
          <w:numId w:val="3"/>
        </w:numPr>
        <w:spacing w:after="60"/>
      </w:pPr>
      <w:r>
        <w:t xml:space="preserve">Pair official data with lived experience: a wait-time average hides the student who gave up after week three. The survey below captures that.</w:t>
      </w:r>
    </w:p>
    <w:p>
      <w:r>
        <w:br w:type="page"/>
      </w:r>
    </w:p>
    <w:p>
      <w:pPr>
        <w:pStyle w:val="Heading1"/>
      </w:pPr>
      <w:r>
        <w:t xml:space="preserve">Section 3 — Student Access Survey (question bank)</w:t>
      </w:r>
    </w:p>
    <w:p>
      <w:pPr>
        <w:spacing w:after="120"/>
      </w:pPr>
      <w:r>
        <w:t xml:space="preserve">Run this alongside your records request to show demand and lived experience. Keep it anonymous; collect no more identifying data than you need.</w:t>
      </w:r>
    </w:p>
    <w:p>
      <w:pPr>
        <w:pStyle w:val="ListParagraph"/>
        <w:numPr>
          <w:ilvl w:val="0"/>
          <w:numId w:val="2"/>
        </w:numPr>
        <w:spacing w:after="60"/>
      </w:pPr>
      <w:r>
        <w:t xml:space="preserve">In the past 12 months, did you seek mental-health support from your campus counseling center? (Yes / No / Considered it but didn’t)</w:t>
      </w:r>
    </w:p>
    <w:p>
      <w:pPr>
        <w:pStyle w:val="ListParagraph"/>
        <w:numPr>
          <w:ilvl w:val="0"/>
          <w:numId w:val="2"/>
        </w:numPr>
        <w:spacing w:after="60"/>
      </w:pPr>
      <w:r>
        <w:t xml:space="preserve">If yes, how long did you wait for your first appointment? (Same week / 1–2 weeks / 3–4 weeks / 5+ weeks / Never got one)</w:t>
      </w:r>
    </w:p>
    <w:p>
      <w:pPr>
        <w:pStyle w:val="ListParagraph"/>
        <w:numPr>
          <w:ilvl w:val="0"/>
          <w:numId w:val="2"/>
        </w:numPr>
        <w:spacing w:after="60"/>
      </w:pPr>
      <w:r>
        <w:t xml:space="preserve">Were you offered enough sessions to address your needs? (Yes / No / Was referred elsewhere)</w:t>
      </w:r>
    </w:p>
    <w:p>
      <w:pPr>
        <w:pStyle w:val="ListParagraph"/>
        <w:numPr>
          <w:ilvl w:val="0"/>
          <w:numId w:val="2"/>
        </w:numPr>
        <w:spacing w:after="60"/>
      </w:pPr>
      <w:r>
        <w:t xml:space="preserve">Were you referred off-campus or to a waitlist? (Yes, off-campus / Yes, waitlist / No)</w:t>
      </w:r>
    </w:p>
    <w:p>
      <w:pPr>
        <w:pStyle w:val="ListParagraph"/>
        <w:numPr>
          <w:ilvl w:val="0"/>
          <w:numId w:val="2"/>
        </w:numPr>
        <w:spacing w:after="60"/>
      </w:pPr>
      <w:r>
        <w:t xml:space="preserve">Did cost, insurance, or availability prevent you from getting care? (Select all that apply)</w:t>
      </w:r>
    </w:p>
    <w:p>
      <w:pPr>
        <w:pStyle w:val="ListParagraph"/>
        <w:numPr>
          <w:ilvl w:val="0"/>
          <w:numId w:val="2"/>
        </w:numPr>
        <w:spacing w:after="60"/>
      </w:pPr>
      <w:r>
        <w:t xml:space="preserve">How would you rate the overall accessibility of campus mental-health services? (1–5)</w:t>
      </w:r>
    </w:p>
    <w:p>
      <w:pPr>
        <w:pStyle w:val="ListParagraph"/>
        <w:numPr>
          <w:ilvl w:val="0"/>
          <w:numId w:val="2"/>
        </w:numPr>
        <w:spacing w:after="60"/>
      </w:pPr>
      <w:r>
        <w:t xml:space="preserve">Did difficulty accessing care affect your academics, attendance, or decision to stay enrolled? (Yes / No / Unsure)</w:t>
      </w:r>
    </w:p>
    <w:p>
      <w:pPr>
        <w:pStyle w:val="ListParagraph"/>
        <w:numPr>
          <w:ilvl w:val="0"/>
          <w:numId w:val="2"/>
        </w:numPr>
        <w:spacing w:after="60"/>
      </w:pPr>
      <w:r>
        <w:t xml:space="preserve">What is one thing that would have made getting help easier? (open text)</w:t>
      </w:r>
    </w:p>
    <w:p>
      <w:r>
        <w:t xml:space="preserve"/>
      </w:r>
    </w:p>
    <w:p>
      <w:pPr>
        <w:pBdr>
          <w:top w:val="single" w:color="4D7C0F" w:sz="6" w:space="6"/>
          <w:bottom w:val="single" w:color="4D7C0F" w:sz="6" w:space="6"/>
          <w:left w:val="single" w:color="4D7C0F" w:sz="6" w:space="6"/>
          <w:right w:val="single" w:color="4D7C0F" w:sz="6" w:space="6"/>
        </w:pBdr>
        <w:shd w:fill="F1F5E8" w:val="clear"/>
        <w:spacing w:after="80" w:before="80"/>
      </w:pPr>
      <w:r>
        <w:rPr>
          <w:b/>
          <w:bCs/>
        </w:rPr>
        <w:t xml:space="preserve">We can run this survey for you. </w:t>
      </w:r>
      <w:r>
        <w:t xml:space="preserve">Because it is advocacy and program-evaluation work conducted by Griffin Ambitions — an independent 501(c)(3) — rather than university-affiliated research intended for academic publication, it generally falls outside your university’s Institutional Review Board (IRB) review. We can design, host, distribute, and analyze the survey so you don’t have to navigate your campus research board, then hand you results formatted for advocacy. Email info@griffinambitions.com to start.</w:t>
      </w:r>
    </w:p>
    <w:p>
      <w:pPr>
        <w:spacing w:after="120"/>
      </w:pPr>
      <w:r>
        <w:rPr>
          <w:i/>
          <w:iCs/>
          <w:color w:val="555555"/>
          <w:sz w:val="20"/>
          <w:szCs w:val="20"/>
        </w:rPr>
        <w:t xml:space="preserve">Note: this reflects the common distinction between advocacy/program evaluation and generalizable human-subjects research; if you intend to publish academically, IRB rules may apply. Always treat respondents ethically — voluntary participation, informed consent, and anonymity.</w:t>
      </w:r>
    </w:p>
    <w:p>
      <w:r>
        <w:br w:type="page"/>
      </w:r>
    </w:p>
    <w:p>
      <w:pPr>
        <w:pStyle w:val="Heading1"/>
      </w:pPr>
      <w:r>
        <w:t xml:space="preserve">Section 4 — Public Records Law by State (reference)</w:t>
      </w:r>
    </w:p>
    <w:p>
      <w:pPr>
        <w:spacing w:after="120"/>
      </w:pPr>
      <w:r>
        <w:t xml:space="preserve">Insert your state’s law into the letter’s opening line, and use the response window to follow up. Verify current details before filing — statutes and deadlines change.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4760"/>
        <w:gridCol w:w="2700"/>
      </w:tblGrid>
      <w:tr>
        <w:trPr>
          <w:tblHeader/>
        </w:trPr>
        <w:tc>
          <w:tcPr>
            <w:tcW w:type="dxa" w:w="1900"/>
            <w:tcBorders>
              <w:top w:val="single" w:color="CCCCCC" w:sz="1"/>
              <w:left w:val="single" w:color="CCCCCC" w:sz="1"/>
              <w:bottom w:val="single" w:color="CCCCCC" w:sz="1"/>
              <w:right w:val="single" w:color="CCCCCC" w:sz="1"/>
            </w:tcBorders>
            <w:shd w:fill="1E3A8A" w:val="clear"/>
            <w:tcMar>
              <w:top w:type="dxa" w:w="60"/>
              <w:left w:type="dxa" w:w="110"/>
              <w:bottom w:type="dxa" w:w="60"/>
              <w:right w:type="dxa" w:w="110"/>
            </w:tcMar>
          </w:tcPr>
          <w:p>
            <w:r>
              <w:rPr>
                <w:b/>
                <w:bCs/>
                <w:color w:val="FFFFFF"/>
                <w:sz w:val="19"/>
                <w:szCs w:val="19"/>
              </w:rPr>
              <w:t xml:space="preserve">State</w:t>
            </w:r>
          </w:p>
        </w:tc>
        <w:tc>
          <w:tcPr>
            <w:tcW w:type="dxa" w:w="4760"/>
            <w:tcBorders>
              <w:top w:val="single" w:color="CCCCCC" w:sz="1"/>
              <w:left w:val="single" w:color="CCCCCC" w:sz="1"/>
              <w:bottom w:val="single" w:color="CCCCCC" w:sz="1"/>
              <w:right w:val="single" w:color="CCCCCC" w:sz="1"/>
            </w:tcBorders>
            <w:shd w:fill="1E3A8A" w:val="clear"/>
            <w:tcMar>
              <w:top w:type="dxa" w:w="60"/>
              <w:left w:type="dxa" w:w="110"/>
              <w:bottom w:type="dxa" w:w="60"/>
              <w:right w:type="dxa" w:w="110"/>
            </w:tcMar>
          </w:tcPr>
          <w:p>
            <w:r>
              <w:rPr>
                <w:b/>
                <w:bCs/>
                <w:color w:val="FFFFFF"/>
                <w:sz w:val="19"/>
                <w:szCs w:val="19"/>
              </w:rPr>
              <w:t xml:space="preserve">Public records law</w:t>
            </w:r>
          </w:p>
        </w:tc>
        <w:tc>
          <w:tcPr>
            <w:tcW w:type="dxa" w:w="2700"/>
            <w:tcBorders>
              <w:top w:val="single" w:color="CCCCCC" w:sz="1"/>
              <w:left w:val="single" w:color="CCCCCC" w:sz="1"/>
              <w:bottom w:val="single" w:color="CCCCCC" w:sz="1"/>
              <w:right w:val="single" w:color="CCCCCC" w:sz="1"/>
            </w:tcBorders>
            <w:shd w:fill="1E3A8A" w:val="clear"/>
            <w:tcMar>
              <w:top w:type="dxa" w:w="60"/>
              <w:left w:type="dxa" w:w="110"/>
              <w:bottom w:type="dxa" w:w="60"/>
              <w:right w:type="dxa" w:w="110"/>
            </w:tcMar>
          </w:tcPr>
          <w:p>
            <w:r>
              <w:rPr>
                <w:b/>
                <w:bCs/>
                <w:color w:val="FFFFFF"/>
                <w:sz w:val="19"/>
                <w:szCs w:val="19"/>
              </w:rPr>
              <w:t xml:space="preserve">Typical response window</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Alabama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Open Records Act (Ala. Code §36-12-40)</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No fixed deadline — “reasonable time”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Alaska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 (AS §40.25)</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10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Arizona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Law (A.R.S. §39-121)</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“Promptly” / reasonable time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Arkansas</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Freedom of Information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3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California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 (Gov. Code §7920+)</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10 days to determine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Colorado</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Open Records Act (CORA)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3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Connecticut</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Freedom of Information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Promptly; ~4 business days to acknowledge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Delaware</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Freedom of Information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District of Columbia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DC FOIA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Florida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 (Ch. 119, “Sunshine”)</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“Reasonable time”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Georgia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Open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3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Hawaii</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Uniform Information Practices Act (UIPA)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10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Idaho</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3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Illinois</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Freedom of Information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Indiana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Access to Public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7 days (mail) to acknowledge; reasonable time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Iowa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Open Records (Ch. 22)</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“Reasonable time” (often 10–20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Kansas</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Open Records Act (KORA)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3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Kentucky</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Open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Louisiana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Law</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3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Maine</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Freedom of Access Act (FOAA)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Acknowledge within 5 working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Maryland</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Information Act (PIA)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30 days (10 to acknowledge)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Massachusetts</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Law</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10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Michigan</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Freedom of Information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Minnesota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Government Data Practices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“Reasonable time / prompt”</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Mississippi</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7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Missouri</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Sunshine Law</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3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Montana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Right to Know (Const. Art. II §9)</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“Reasonable time”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Nebraska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Statutes</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4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Nevada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New Hampshire</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Right-to-Know Law (RSA 91-A)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New Jersey</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Open Public Records Act (OPRA)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7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New Mexico</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Inspection of Public Records Act (IPRA)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3 business days (15 if extended)</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New York</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Freedom of Information Law (FOIL)</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 to acknowledge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North Carolina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Law (Ch. 132)</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“As promptly as possible”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North Dakota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Open Records Statute</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“Reasonable time”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Ohio</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 (R.C. §149.43)</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“Reasonable time”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Oklahoma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Open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“Prompt, reasonable”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Oregon</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Law</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 to acknowledge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Pennsylvania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Right-to-Know Law</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Rhode Island</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Access to Public Records Act (APRA)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10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South Carolina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Freedom of Information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10 business days to determine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South Dakota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Law</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“Reasonable time”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Tennessee</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7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Texas</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Information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“Promptly” (~10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Utah</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Government Records Access &amp; Management Act (GRAMA)</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10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Vermont</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3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Virginia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Freedom of Information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Washington</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West Virginia</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Freedom of Information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5 business days</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Wisconsin</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Open Records Law</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“As soon as practicable”</w:t>
            </w:r>
          </w:p>
        </w:tc>
      </w:tr>
      <w:tr>
        <w:tc>
          <w:tcPr>
            <w:tcW w:type="dxa" w:w="19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Wyoming</w:t>
            </w:r>
          </w:p>
        </w:tc>
        <w:tc>
          <w:tcPr>
            <w:tcW w:type="dxa" w:w="476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Public Records Act</w:t>
            </w:r>
          </w:p>
        </w:tc>
        <w:tc>
          <w:tcPr>
            <w:tcW w:type="dxa" w:w="2700"/>
            <w:tcBorders>
              <w:top w:val="single" w:color="CCCCCC" w:sz="1"/>
              <w:left w:val="single" w:color="CCCCCC" w:sz="1"/>
              <w:bottom w:val="single" w:color="CCCCCC" w:sz="1"/>
              <w:right w:val="single" w:color="CCCCCC" w:sz="1"/>
            </w:tcBorders>
            <w:shd w:fill="FFFFFF" w:val="clear"/>
            <w:tcMar>
              <w:top w:type="dxa" w:w="60"/>
              <w:left w:type="dxa" w:w="110"/>
              <w:bottom w:type="dxa" w:w="60"/>
              <w:right w:type="dxa" w:w="110"/>
            </w:tcMar>
          </w:tcPr>
          <w:p>
            <w:r>
              <w:rPr>
                <w:b w:val="false"/>
                <w:bCs w:val="false"/>
                <w:color w:val="000000"/>
                <w:sz w:val="19"/>
                <w:szCs w:val="19"/>
              </w:rPr>
              <w:t xml:space="preserve">Reasonable time (~30 days)</w:t>
            </w:r>
          </w:p>
        </w:tc>
      </w:tr>
    </w:tbl>
    <w:p>
      <w:r>
        <w:t xml:space="preserve"/>
      </w:r>
    </w:p>
    <w:p>
      <w:pPr>
        <w:spacing w:after="120"/>
      </w:pPr>
      <w:r>
        <w:rPr>
          <w:i/>
          <w:iCs/>
          <w:color w:val="555555"/>
          <w:sz w:val="20"/>
          <w:szCs w:val="20"/>
        </w:rPr>
        <w:t xml:space="preserve">Response windows are statutory targets or common practice and are summarized here for convenience; many states require only a “reasonable” response. Confirm the current statute, deadline, and fee rules for your state before sending.</w:t>
      </w:r>
    </w:p>
    <w:p>
      <w:pPr>
        <w:pBdr>
          <w:bottom w:val="single" w:color="1D4ED8" w:sz="6" w:space="1"/>
        </w:pBdr>
        <w:spacing w:after="160"/>
      </w:pPr>
    </w:p>
    <w:p>
      <w:pPr>
        <w:jc w:val="center"/>
      </w:pPr>
      <w:r>
        <w:rPr>
          <w:color w:val="555555"/>
          <w:sz w:val="18"/>
          <w:szCs w:val="18"/>
        </w:rPr>
        <w:t xml:space="preserve">Griffin Ambitions Ltd — Student Mental Health Policy Alliance™  ·  griffinlink.com  ·  info@griffinambitions.com</w:t>
      </w:r>
    </w:p>
    <w:sectPr>
      <w:pgSz w:w="12240" w:h="15840" w:orient="portrait"/>
      <w:pgMar w:top="1296" w:right="1440" w:bottom="1296"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1E3A8A"/>
      <w:sz w:val="30"/>
      <w:szCs w:val="30"/>
    </w:rPr>
  </w:style>
  <w:style w:type="paragraph" w:styleId="Heading2">
    <w:name w:val="Heading 2"/>
    <w:basedOn w:val="Normal"/>
    <w:next w:val="Normal"/>
    <w:qFormat/>
    <w:pPr>
      <w:spacing w:after="100" w:before="180"/>
      <w:outlineLvl w:val="1"/>
    </w:pPr>
    <w:rPr>
      <w:rFonts w:ascii="Arial" w:cs="Arial" w:eastAsia="Arial" w:hAnsi="Arial"/>
      <w:b/>
      <w:bCs/>
      <w:color w:val="1D4ED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Mental-Health Data Request — White-Label FOIA Template</dc:title>
  <dc:creator>Griffin Ambitions Ltd</dc:creator>
  <cp:lastModifiedBy>Un-named</cp:lastModifiedBy>
  <cp:revision>1</cp:revision>
  <dcterms:created xsi:type="dcterms:W3CDTF">2026-06-01T01:03:30.898Z</dcterms:created>
  <dcterms:modified xsi:type="dcterms:W3CDTF">2026-06-01T01:03:30.899Z</dcterms:modified>
</cp:coreProperties>
</file>

<file path=docProps/custom.xml><?xml version="1.0" encoding="utf-8"?>
<Properties xmlns="http://schemas.openxmlformats.org/officeDocument/2006/custom-properties" xmlns:vt="http://schemas.openxmlformats.org/officeDocument/2006/docPropsVTypes"/>
</file>